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4966" w:rsidRPr="004F7181" w:rsidRDefault="00764966" w:rsidP="00764966">
      <w:pPr>
        <w:jc w:val="center"/>
        <w:rPr>
          <w:b/>
        </w:rPr>
      </w:pPr>
      <w:r w:rsidRPr="004F7181">
        <w:rPr>
          <w:b/>
        </w:rPr>
        <w:t>ASCC A&amp;H Panel</w:t>
      </w:r>
    </w:p>
    <w:p w:rsidR="00764966" w:rsidRPr="004F7181" w:rsidRDefault="00065613" w:rsidP="00764966">
      <w:pPr>
        <w:jc w:val="center"/>
      </w:pPr>
      <w:r>
        <w:t>A</w:t>
      </w:r>
      <w:bookmarkStart w:id="0" w:name="_GoBack"/>
      <w:bookmarkEnd w:id="0"/>
      <w:r w:rsidR="00AB0B11">
        <w:t>pproved</w:t>
      </w:r>
      <w:r w:rsidR="00764966" w:rsidRPr="004F7181">
        <w:t xml:space="preserve"> Minutes</w:t>
      </w:r>
    </w:p>
    <w:p w:rsidR="00764966" w:rsidRPr="004F7181" w:rsidRDefault="00764966" w:rsidP="00764966"/>
    <w:p w:rsidR="00764966" w:rsidRPr="00B81D5A" w:rsidRDefault="00764966" w:rsidP="00764966">
      <w:r>
        <w:t>Monday</w:t>
      </w:r>
      <w:r w:rsidRPr="00B81D5A">
        <w:t xml:space="preserve">, October </w:t>
      </w:r>
      <w:r>
        <w:t>12</w:t>
      </w:r>
      <w:r w:rsidRPr="00B81D5A">
        <w:t>, 2015</w:t>
      </w:r>
      <w:r w:rsidRPr="00B81D5A">
        <w:tab/>
      </w:r>
      <w:r w:rsidRPr="00B81D5A">
        <w:tab/>
      </w:r>
      <w:r w:rsidRPr="00B81D5A">
        <w:tab/>
      </w:r>
      <w:r w:rsidRPr="00B81D5A">
        <w:tab/>
      </w:r>
      <w:r w:rsidRPr="00B81D5A">
        <w:tab/>
      </w:r>
      <w:r w:rsidRPr="00B81D5A">
        <w:tab/>
      </w:r>
      <w:r>
        <w:t>10:30 A</w:t>
      </w:r>
      <w:r w:rsidRPr="00B81D5A">
        <w:t>M -</w:t>
      </w:r>
      <w:r w:rsidR="00E630D8">
        <w:t>12:00 P</w:t>
      </w:r>
      <w:r w:rsidRPr="00B81D5A">
        <w:t>M</w:t>
      </w:r>
    </w:p>
    <w:p w:rsidR="00764966" w:rsidRPr="00B81D5A" w:rsidRDefault="00764966" w:rsidP="00764966">
      <w:r w:rsidRPr="00B81D5A">
        <w:t>110 Denney Hall</w:t>
      </w:r>
    </w:p>
    <w:p w:rsidR="00764966" w:rsidRPr="00B81D5A" w:rsidRDefault="00764966" w:rsidP="00764966"/>
    <w:p w:rsidR="00764966" w:rsidRPr="00B81D5A" w:rsidRDefault="002E0107" w:rsidP="00764966">
      <w:r>
        <w:t>ATTENDEES: Aski, Bitters, Heysel,</w:t>
      </w:r>
      <w:r w:rsidR="00764966" w:rsidRPr="00B81D5A">
        <w:t xml:space="preserve"> </w:t>
      </w:r>
      <w:r>
        <w:t xml:space="preserve">Hogle, </w:t>
      </w:r>
      <w:r w:rsidR="00764966" w:rsidRPr="00B81D5A">
        <w:t>T</w:t>
      </w:r>
      <w:r>
        <w:t xml:space="preserve">aleghani-Nikazm, </w:t>
      </w:r>
      <w:r w:rsidR="00764966" w:rsidRPr="00B81D5A">
        <w:t>Wilson</w:t>
      </w:r>
    </w:p>
    <w:p w:rsidR="00764966" w:rsidRPr="00B81D5A" w:rsidRDefault="00764966" w:rsidP="00764966">
      <w:pPr>
        <w:pStyle w:val="NormalWeb"/>
        <w:spacing w:before="0" w:beforeAutospacing="0" w:after="0" w:afterAutospacing="0"/>
      </w:pPr>
    </w:p>
    <w:p w:rsidR="00764966" w:rsidRDefault="00764966" w:rsidP="00764966">
      <w:r w:rsidRPr="00B81D5A">
        <w:t xml:space="preserve">AGENDA: </w:t>
      </w:r>
    </w:p>
    <w:p w:rsidR="00764966" w:rsidRDefault="00764966" w:rsidP="001401BD">
      <w:pPr>
        <w:numPr>
          <w:ilvl w:val="0"/>
          <w:numId w:val="1"/>
        </w:numPr>
        <w:shd w:val="clear" w:color="auto" w:fill="FFFFFF"/>
        <w:tabs>
          <w:tab w:val="left" w:pos="5310"/>
        </w:tabs>
        <w:spacing w:line="254" w:lineRule="atLeast"/>
        <w:ind w:right="360"/>
        <w:textAlignment w:val="baseline"/>
      </w:pPr>
      <w:r w:rsidRPr="00764966">
        <w:t>Approval of 10-2-15 minutes </w:t>
      </w:r>
    </w:p>
    <w:p w:rsidR="004C48C8" w:rsidRPr="00764966" w:rsidRDefault="001A4F72" w:rsidP="004C48C8">
      <w:pPr>
        <w:numPr>
          <w:ilvl w:val="1"/>
          <w:numId w:val="1"/>
        </w:numPr>
        <w:shd w:val="clear" w:color="auto" w:fill="FFFFFF"/>
        <w:spacing w:line="254" w:lineRule="atLeast"/>
        <w:ind w:right="360"/>
        <w:textAlignment w:val="baseline"/>
      </w:pPr>
      <w:r>
        <w:t xml:space="preserve">Taleghani-Nikazm, Wilson, </w:t>
      </w:r>
      <w:r w:rsidRPr="00BA7B85">
        <w:rPr>
          <w:b/>
        </w:rPr>
        <w:t xml:space="preserve">unanimously approved </w:t>
      </w:r>
      <w:r w:rsidR="00BA7B85">
        <w:br/>
      </w:r>
    </w:p>
    <w:p w:rsidR="00BA7B85" w:rsidRDefault="00764966" w:rsidP="00BA7B85">
      <w:pPr>
        <w:numPr>
          <w:ilvl w:val="0"/>
          <w:numId w:val="1"/>
        </w:numPr>
        <w:shd w:val="clear" w:color="auto" w:fill="FFFFFF"/>
        <w:spacing w:line="254" w:lineRule="atLeast"/>
        <w:ind w:right="360"/>
        <w:textAlignment w:val="baseline"/>
      </w:pPr>
      <w:r w:rsidRPr="00764966">
        <w:t>Architecture 3195 (new course; requesting GE Cultures and Ideas and GE Diversity-Global Studies)</w:t>
      </w:r>
    </w:p>
    <w:p w:rsidR="00BA7B85" w:rsidRPr="00BA7B85" w:rsidRDefault="00BA7B85" w:rsidP="00BA7B85">
      <w:pPr>
        <w:numPr>
          <w:ilvl w:val="1"/>
          <w:numId w:val="1"/>
        </w:numPr>
        <w:shd w:val="clear" w:color="auto" w:fill="FFFFFF"/>
        <w:spacing w:line="254" w:lineRule="atLeast"/>
        <w:ind w:right="360"/>
        <w:textAlignment w:val="baseline"/>
        <w:rPr>
          <w:i/>
        </w:rPr>
      </w:pPr>
      <w:r w:rsidRPr="00BA7B85">
        <w:rPr>
          <w:i/>
        </w:rPr>
        <w:t xml:space="preserve">Update the GE language. Change “GE Global Diversity” to “GE </w:t>
      </w:r>
      <w:r w:rsidR="00D0710C">
        <w:rPr>
          <w:i/>
        </w:rPr>
        <w:t xml:space="preserve">Diversity: </w:t>
      </w:r>
      <w:r w:rsidRPr="00BA7B85">
        <w:rPr>
          <w:i/>
        </w:rPr>
        <w:t xml:space="preserve">Global Studies” </w:t>
      </w:r>
      <w:r>
        <w:rPr>
          <w:i/>
        </w:rPr>
        <w:t xml:space="preserve">on the syllabus and GE rationale. </w:t>
      </w:r>
    </w:p>
    <w:p w:rsidR="00BA7B85" w:rsidRPr="00BA7B85" w:rsidRDefault="00500A8E" w:rsidP="001401BD">
      <w:pPr>
        <w:numPr>
          <w:ilvl w:val="1"/>
          <w:numId w:val="1"/>
        </w:numPr>
        <w:shd w:val="clear" w:color="auto" w:fill="FFFFFF" w:themeFill="background1"/>
        <w:spacing w:line="254" w:lineRule="atLeast"/>
        <w:ind w:right="360"/>
        <w:textAlignment w:val="baseline"/>
        <w:rPr>
          <w:i/>
        </w:rPr>
      </w:pPr>
      <w:r>
        <w:rPr>
          <w:i/>
        </w:rPr>
        <w:t>The committee suggests removing</w:t>
      </w:r>
      <w:r w:rsidR="00BA7B85" w:rsidRPr="00BA7B85">
        <w:rPr>
          <w:i/>
        </w:rPr>
        <w:t xml:space="preserve"> “discussions in recitation sessions; assessments by TA’s in student interactions and recitations” under</w:t>
      </w:r>
      <w:r w:rsidR="00D0710C">
        <w:rPr>
          <w:i/>
        </w:rPr>
        <w:t xml:space="preserve"> the</w:t>
      </w:r>
      <w:r>
        <w:rPr>
          <w:i/>
        </w:rPr>
        <w:t xml:space="preserve"> indirect ass</w:t>
      </w:r>
      <w:r w:rsidR="001A189D">
        <w:rPr>
          <w:i/>
        </w:rPr>
        <w:t>essment methods because this is</w:t>
      </w:r>
      <w:r>
        <w:rPr>
          <w:i/>
        </w:rPr>
        <w:t xml:space="preserve"> not quantifiable information. However, if you work with the assessment office and they accept these observations, of course use them.</w:t>
      </w:r>
    </w:p>
    <w:p w:rsidR="007E18D9" w:rsidRDefault="00BA7B85" w:rsidP="00BA7B85">
      <w:pPr>
        <w:numPr>
          <w:ilvl w:val="2"/>
          <w:numId w:val="1"/>
        </w:numPr>
        <w:shd w:val="clear" w:color="auto" w:fill="FFFFFF"/>
        <w:spacing w:line="254" w:lineRule="atLeast"/>
        <w:ind w:right="360"/>
        <w:textAlignment w:val="baseline"/>
      </w:pPr>
      <w:r>
        <w:t>The assessment plan needs to be</w:t>
      </w:r>
      <w:r w:rsidR="007E18D9">
        <w:t xml:space="preserve"> implemented after the first 2 offerings </w:t>
      </w:r>
      <w:r>
        <w:t xml:space="preserve">of the course. </w:t>
      </w:r>
    </w:p>
    <w:p w:rsidR="00A93352" w:rsidRPr="00764966" w:rsidRDefault="00A93352" w:rsidP="00BA7B85">
      <w:pPr>
        <w:numPr>
          <w:ilvl w:val="1"/>
          <w:numId w:val="1"/>
        </w:numPr>
        <w:shd w:val="clear" w:color="auto" w:fill="FFFFFF"/>
        <w:spacing w:line="254" w:lineRule="atLeast"/>
        <w:ind w:right="360"/>
        <w:textAlignment w:val="baseline"/>
      </w:pPr>
      <w:r>
        <w:t xml:space="preserve">Wilson, </w:t>
      </w:r>
      <w:r w:rsidR="00BA7B85" w:rsidRPr="00B81D5A">
        <w:t>T</w:t>
      </w:r>
      <w:r w:rsidR="00BA7B85">
        <w:t>aleghani-Nikazm,</w:t>
      </w:r>
      <w:r w:rsidR="00BA7B85" w:rsidRPr="00BA7B85">
        <w:rPr>
          <w:b/>
        </w:rPr>
        <w:t xml:space="preserve"> u</w:t>
      </w:r>
      <w:r w:rsidRPr="00BA7B85">
        <w:rPr>
          <w:b/>
        </w:rPr>
        <w:t>nanimously approved</w:t>
      </w:r>
      <w:r>
        <w:t xml:space="preserve"> </w:t>
      </w:r>
      <w:r w:rsidR="00BA7B85" w:rsidRPr="00BA7B85">
        <w:rPr>
          <w:i/>
        </w:rPr>
        <w:t xml:space="preserve">with two recommendations (in italics above) </w:t>
      </w:r>
      <w:r w:rsidR="00BA7B85">
        <w:br/>
      </w:r>
    </w:p>
    <w:p w:rsidR="00764966" w:rsidRDefault="00764966" w:rsidP="00764966">
      <w:pPr>
        <w:numPr>
          <w:ilvl w:val="0"/>
          <w:numId w:val="1"/>
        </w:numPr>
        <w:shd w:val="clear" w:color="auto" w:fill="FFFFFF"/>
        <w:spacing w:line="254" w:lineRule="atLeast"/>
        <w:ind w:right="360"/>
        <w:textAlignment w:val="baseline"/>
      </w:pPr>
      <w:r w:rsidRPr="00764966">
        <w:t>Theatre 5751 (new course)</w:t>
      </w:r>
    </w:p>
    <w:p w:rsidR="00B64CB5" w:rsidRDefault="00A93352" w:rsidP="00B64CB5">
      <w:pPr>
        <w:numPr>
          <w:ilvl w:val="1"/>
          <w:numId w:val="1"/>
        </w:numPr>
        <w:shd w:val="clear" w:color="auto" w:fill="FFFFFF"/>
        <w:spacing w:line="254" w:lineRule="atLeast"/>
        <w:ind w:right="360"/>
        <w:textAlignment w:val="baseline"/>
      </w:pPr>
      <w:r>
        <w:t>Curriculum Map</w:t>
      </w:r>
      <w:r w:rsidR="00BA7B85">
        <w:t xml:space="preserve"> not provided</w:t>
      </w:r>
      <w:r w:rsidR="00D0710C">
        <w:t>.</w:t>
      </w:r>
      <w:r>
        <w:t xml:space="preserve"> </w:t>
      </w:r>
    </w:p>
    <w:p w:rsidR="00FA005C" w:rsidRPr="00BA7B85" w:rsidRDefault="00BA7B85" w:rsidP="00B64CB5">
      <w:pPr>
        <w:numPr>
          <w:ilvl w:val="1"/>
          <w:numId w:val="1"/>
        </w:numPr>
        <w:shd w:val="clear" w:color="auto" w:fill="FFFFFF"/>
        <w:spacing w:line="254" w:lineRule="atLeast"/>
        <w:ind w:right="360"/>
        <w:textAlignment w:val="baseline"/>
        <w:rPr>
          <w:b/>
        </w:rPr>
      </w:pPr>
      <w:r>
        <w:rPr>
          <w:b/>
        </w:rPr>
        <w:t>R</w:t>
      </w:r>
      <w:r w:rsidRPr="00BA7B85">
        <w:rPr>
          <w:b/>
        </w:rPr>
        <w:t xml:space="preserve">equest concurrence from Film Studies </w:t>
      </w:r>
    </w:p>
    <w:p w:rsidR="00FA005C" w:rsidRPr="00801B91" w:rsidRDefault="00FA005C" w:rsidP="00B64CB5">
      <w:pPr>
        <w:numPr>
          <w:ilvl w:val="1"/>
          <w:numId w:val="1"/>
        </w:numPr>
        <w:shd w:val="clear" w:color="auto" w:fill="FFFFFF"/>
        <w:spacing w:line="254" w:lineRule="atLeast"/>
        <w:ind w:right="360"/>
        <w:textAlignment w:val="baseline"/>
        <w:rPr>
          <w:i/>
        </w:rPr>
      </w:pPr>
      <w:r w:rsidRPr="00801B91">
        <w:rPr>
          <w:i/>
        </w:rPr>
        <w:t xml:space="preserve">Typo </w:t>
      </w:r>
      <w:r w:rsidR="00BA7B85" w:rsidRPr="00801B91">
        <w:rPr>
          <w:i/>
        </w:rPr>
        <w:t>on page two of the</w:t>
      </w:r>
      <w:r w:rsidRPr="00801B91">
        <w:rPr>
          <w:i/>
        </w:rPr>
        <w:t xml:space="preserve"> syllabu</w:t>
      </w:r>
      <w:r w:rsidR="00BA7B85" w:rsidRPr="00801B91">
        <w:rPr>
          <w:i/>
        </w:rPr>
        <w:t>s. Should be</w:t>
      </w:r>
      <w:r w:rsidRPr="00801B91">
        <w:rPr>
          <w:i/>
        </w:rPr>
        <w:t xml:space="preserve"> “Wim We</w:t>
      </w:r>
      <w:r w:rsidR="00BA7B85" w:rsidRPr="00801B91">
        <w:rPr>
          <w:i/>
        </w:rPr>
        <w:t xml:space="preserve">nders” instead of “Win Wenders.” </w:t>
      </w:r>
    </w:p>
    <w:p w:rsidR="005F47D8" w:rsidRPr="00764966" w:rsidRDefault="005F47D8" w:rsidP="00B64CB5">
      <w:pPr>
        <w:numPr>
          <w:ilvl w:val="1"/>
          <w:numId w:val="1"/>
        </w:numPr>
        <w:shd w:val="clear" w:color="auto" w:fill="FFFFFF"/>
        <w:spacing w:line="254" w:lineRule="atLeast"/>
        <w:ind w:right="360"/>
        <w:textAlignment w:val="baseline"/>
      </w:pPr>
      <w:r>
        <w:t xml:space="preserve">Wilson, </w:t>
      </w:r>
      <w:r w:rsidR="00BA7B85" w:rsidRPr="00B81D5A">
        <w:t>T</w:t>
      </w:r>
      <w:r w:rsidR="00BA7B85">
        <w:t>aleghani-Nikazm</w:t>
      </w:r>
      <w:r>
        <w:t xml:space="preserve">, </w:t>
      </w:r>
      <w:r w:rsidRPr="00BA7B85">
        <w:rPr>
          <w:b/>
        </w:rPr>
        <w:t xml:space="preserve">unanimously approved </w:t>
      </w:r>
      <w:r w:rsidR="00BA7B85" w:rsidRPr="00BA7B85">
        <w:rPr>
          <w:b/>
        </w:rPr>
        <w:t xml:space="preserve">with one contingency </w:t>
      </w:r>
      <w:r w:rsidR="00BA7B85">
        <w:t>(</w:t>
      </w:r>
      <w:r w:rsidR="00BA7B85" w:rsidRPr="00BA7B85">
        <w:rPr>
          <w:b/>
        </w:rPr>
        <w:t>in bold above</w:t>
      </w:r>
      <w:r w:rsidR="00BA7B85">
        <w:t xml:space="preserve">) </w:t>
      </w:r>
      <w:r w:rsidR="00801B91">
        <w:t xml:space="preserve">and </w:t>
      </w:r>
      <w:r w:rsidR="00801B91" w:rsidRPr="00801B91">
        <w:rPr>
          <w:i/>
        </w:rPr>
        <w:t xml:space="preserve">one recommendation (in italics above) </w:t>
      </w:r>
      <w:r w:rsidR="00BA7B85">
        <w:br/>
      </w:r>
    </w:p>
    <w:p w:rsidR="005A2955" w:rsidRDefault="00764966" w:rsidP="005A2955">
      <w:pPr>
        <w:numPr>
          <w:ilvl w:val="0"/>
          <w:numId w:val="1"/>
        </w:numPr>
        <w:shd w:val="clear" w:color="auto" w:fill="FFFFFF"/>
        <w:spacing w:line="254" w:lineRule="atLeast"/>
        <w:ind w:right="360"/>
        <w:textAlignment w:val="baseline"/>
      </w:pPr>
      <w:r w:rsidRPr="00764966">
        <w:t>Classics 7890 (new course)</w:t>
      </w:r>
    </w:p>
    <w:p w:rsidR="00F80861" w:rsidRDefault="005A2955" w:rsidP="005A2955">
      <w:pPr>
        <w:numPr>
          <w:ilvl w:val="1"/>
          <w:numId w:val="1"/>
        </w:numPr>
        <w:shd w:val="clear" w:color="auto" w:fill="FFFFFF"/>
        <w:spacing w:line="254" w:lineRule="atLeast"/>
        <w:ind w:right="360"/>
        <w:textAlignment w:val="baseline"/>
      </w:pPr>
      <w:r>
        <w:rPr>
          <w:b/>
        </w:rPr>
        <w:t>Provide rationale for making the course r</w:t>
      </w:r>
      <w:r w:rsidR="00F80861" w:rsidRPr="005A2955">
        <w:rPr>
          <w:b/>
        </w:rPr>
        <w:t>epeatable 10 times</w:t>
      </w:r>
      <w:r>
        <w:rPr>
          <w:b/>
        </w:rPr>
        <w:t>.</w:t>
      </w:r>
      <w:r w:rsidR="00F80861">
        <w:t xml:space="preserve"> </w:t>
      </w:r>
    </w:p>
    <w:p w:rsidR="00F80861" w:rsidRDefault="009510B5" w:rsidP="009510B5">
      <w:pPr>
        <w:numPr>
          <w:ilvl w:val="2"/>
          <w:numId w:val="1"/>
        </w:numPr>
        <w:shd w:val="clear" w:color="auto" w:fill="FFFFFF"/>
        <w:spacing w:line="254" w:lineRule="atLeast"/>
        <w:ind w:right="360"/>
        <w:textAlignment w:val="baseline"/>
      </w:pPr>
      <w:r>
        <w:t xml:space="preserve">Maximum of 30 credit hours.  </w:t>
      </w:r>
    </w:p>
    <w:p w:rsidR="00F80861" w:rsidRDefault="009510B5" w:rsidP="00F80861">
      <w:pPr>
        <w:numPr>
          <w:ilvl w:val="2"/>
          <w:numId w:val="1"/>
        </w:numPr>
        <w:shd w:val="clear" w:color="auto" w:fill="FFFFFF"/>
        <w:spacing w:line="254" w:lineRule="atLeast"/>
        <w:ind w:right="360"/>
        <w:textAlignment w:val="baseline"/>
      </w:pPr>
      <w:r>
        <w:t xml:space="preserve">It is a seminar course so it’s possible that </w:t>
      </w:r>
      <w:r w:rsidR="00D0710C">
        <w:t xml:space="preserve">the material covered will be different for each offering. </w:t>
      </w:r>
    </w:p>
    <w:p w:rsidR="00A16763" w:rsidRDefault="009510B5" w:rsidP="00F80861">
      <w:pPr>
        <w:numPr>
          <w:ilvl w:val="2"/>
          <w:numId w:val="1"/>
        </w:numPr>
        <w:shd w:val="clear" w:color="auto" w:fill="FFFFFF"/>
        <w:spacing w:line="254" w:lineRule="atLeast"/>
        <w:ind w:right="360"/>
        <w:textAlignment w:val="baseline"/>
      </w:pPr>
      <w:r>
        <w:t>A g</w:t>
      </w:r>
      <w:r w:rsidR="00A16763">
        <w:t xml:space="preserve">raduate student could </w:t>
      </w:r>
      <w:r>
        <w:t xml:space="preserve">take all of their credits in just this course. </w:t>
      </w:r>
    </w:p>
    <w:p w:rsidR="003C624E" w:rsidRPr="009510B5" w:rsidRDefault="009510B5" w:rsidP="003C624E">
      <w:pPr>
        <w:numPr>
          <w:ilvl w:val="1"/>
          <w:numId w:val="1"/>
        </w:numPr>
        <w:shd w:val="clear" w:color="auto" w:fill="FFFFFF"/>
        <w:spacing w:line="254" w:lineRule="atLeast"/>
        <w:ind w:right="360"/>
        <w:textAlignment w:val="baseline"/>
        <w:rPr>
          <w:b/>
        </w:rPr>
      </w:pPr>
      <w:r w:rsidRPr="009510B5">
        <w:rPr>
          <w:b/>
        </w:rPr>
        <w:t>The syllabus needs to provide more detail.</w:t>
      </w:r>
    </w:p>
    <w:p w:rsidR="003C624E" w:rsidRPr="009510B5" w:rsidRDefault="009510B5" w:rsidP="003C624E">
      <w:pPr>
        <w:numPr>
          <w:ilvl w:val="2"/>
          <w:numId w:val="1"/>
        </w:numPr>
        <w:shd w:val="clear" w:color="auto" w:fill="FFFFFF"/>
        <w:spacing w:line="254" w:lineRule="atLeast"/>
        <w:ind w:right="360"/>
        <w:textAlignment w:val="baseline"/>
        <w:rPr>
          <w:b/>
        </w:rPr>
      </w:pPr>
      <w:r w:rsidRPr="009510B5">
        <w:rPr>
          <w:b/>
        </w:rPr>
        <w:t>Breakdow</w:t>
      </w:r>
      <w:r w:rsidR="003C624E" w:rsidRPr="009510B5">
        <w:rPr>
          <w:b/>
        </w:rPr>
        <w:t>n</w:t>
      </w:r>
      <w:r w:rsidRPr="009510B5">
        <w:rPr>
          <w:b/>
        </w:rPr>
        <w:t xml:space="preserve"> </w:t>
      </w:r>
      <w:r>
        <w:rPr>
          <w:b/>
        </w:rPr>
        <w:t xml:space="preserve">of </w:t>
      </w:r>
      <w:r w:rsidRPr="009510B5">
        <w:rPr>
          <w:b/>
        </w:rPr>
        <w:t xml:space="preserve">assignments. </w:t>
      </w:r>
    </w:p>
    <w:p w:rsidR="003C624E" w:rsidRPr="009510B5" w:rsidRDefault="009510B5" w:rsidP="003C624E">
      <w:pPr>
        <w:numPr>
          <w:ilvl w:val="2"/>
          <w:numId w:val="1"/>
        </w:numPr>
        <w:shd w:val="clear" w:color="auto" w:fill="FFFFFF"/>
        <w:spacing w:line="254" w:lineRule="atLeast"/>
        <w:ind w:right="360"/>
        <w:textAlignment w:val="baseline"/>
        <w:rPr>
          <w:b/>
        </w:rPr>
      </w:pPr>
      <w:r w:rsidRPr="009510B5">
        <w:rPr>
          <w:b/>
        </w:rPr>
        <w:t>G</w:t>
      </w:r>
      <w:r w:rsidR="003C624E" w:rsidRPr="009510B5">
        <w:rPr>
          <w:b/>
        </w:rPr>
        <w:t>rading scale</w:t>
      </w:r>
      <w:r w:rsidRPr="009510B5">
        <w:rPr>
          <w:b/>
        </w:rPr>
        <w:t>.</w:t>
      </w:r>
      <w:r w:rsidR="003C624E" w:rsidRPr="009510B5">
        <w:rPr>
          <w:b/>
        </w:rPr>
        <w:t xml:space="preserve"> </w:t>
      </w:r>
    </w:p>
    <w:p w:rsidR="003C624E" w:rsidRPr="009510B5" w:rsidRDefault="009510B5" w:rsidP="003C624E">
      <w:pPr>
        <w:numPr>
          <w:ilvl w:val="2"/>
          <w:numId w:val="1"/>
        </w:numPr>
        <w:shd w:val="clear" w:color="auto" w:fill="FFFFFF"/>
        <w:spacing w:line="254" w:lineRule="atLeast"/>
        <w:ind w:right="360"/>
        <w:textAlignment w:val="baseline"/>
        <w:rPr>
          <w:b/>
        </w:rPr>
      </w:pPr>
      <w:r w:rsidRPr="009510B5">
        <w:rPr>
          <w:b/>
        </w:rPr>
        <w:t xml:space="preserve">Attendance and/or participation expectations. </w:t>
      </w:r>
    </w:p>
    <w:p w:rsidR="009510B5" w:rsidRPr="009510B5" w:rsidRDefault="009510B5" w:rsidP="009510B5">
      <w:pPr>
        <w:numPr>
          <w:ilvl w:val="2"/>
          <w:numId w:val="1"/>
        </w:numPr>
        <w:shd w:val="clear" w:color="auto" w:fill="FFFFFF"/>
        <w:spacing w:line="254" w:lineRule="atLeast"/>
        <w:ind w:right="360"/>
        <w:textAlignment w:val="baseline"/>
        <w:rPr>
          <w:b/>
        </w:rPr>
      </w:pPr>
      <w:r w:rsidRPr="009510B5">
        <w:rPr>
          <w:b/>
        </w:rPr>
        <w:t xml:space="preserve">Due </w:t>
      </w:r>
      <w:r>
        <w:rPr>
          <w:b/>
        </w:rPr>
        <w:t xml:space="preserve">date and length of final paper on the first syllabus. </w:t>
      </w:r>
    </w:p>
    <w:p w:rsidR="005707DF" w:rsidRPr="009510B5" w:rsidRDefault="009510B5" w:rsidP="005707DF">
      <w:pPr>
        <w:numPr>
          <w:ilvl w:val="2"/>
          <w:numId w:val="1"/>
        </w:numPr>
        <w:shd w:val="clear" w:color="auto" w:fill="FFFFFF"/>
        <w:spacing w:line="254" w:lineRule="atLeast"/>
        <w:ind w:right="360"/>
        <w:textAlignment w:val="baseline"/>
        <w:rPr>
          <w:b/>
        </w:rPr>
      </w:pPr>
      <w:r w:rsidRPr="009510B5">
        <w:rPr>
          <w:b/>
        </w:rPr>
        <w:lastRenderedPageBreak/>
        <w:t xml:space="preserve">Second syllabus states that the final paper should be between 5,000 and 1,000 words. Should it be 5,000 and 10,000? </w:t>
      </w:r>
    </w:p>
    <w:p w:rsidR="00DE7FDD" w:rsidRPr="005A2955" w:rsidRDefault="005A2955" w:rsidP="00DE7FDD">
      <w:pPr>
        <w:numPr>
          <w:ilvl w:val="1"/>
          <w:numId w:val="1"/>
        </w:numPr>
        <w:shd w:val="clear" w:color="auto" w:fill="FFFFFF"/>
        <w:spacing w:line="254" w:lineRule="atLeast"/>
        <w:ind w:right="360"/>
        <w:textAlignment w:val="baseline"/>
        <w:rPr>
          <w:b/>
        </w:rPr>
      </w:pPr>
      <w:r w:rsidRPr="005A2955">
        <w:rPr>
          <w:b/>
        </w:rPr>
        <w:t>No vote.</w:t>
      </w:r>
      <w:r w:rsidRPr="005A2955">
        <w:rPr>
          <w:b/>
        </w:rPr>
        <w:br/>
      </w:r>
    </w:p>
    <w:p w:rsidR="00764966" w:rsidRDefault="00764966" w:rsidP="001401BD">
      <w:pPr>
        <w:numPr>
          <w:ilvl w:val="0"/>
          <w:numId w:val="1"/>
        </w:numPr>
        <w:shd w:val="clear" w:color="auto" w:fill="FFFFFF" w:themeFill="background1"/>
        <w:spacing w:line="254" w:lineRule="atLeast"/>
        <w:ind w:right="360"/>
        <w:textAlignment w:val="baseline"/>
      </w:pPr>
      <w:r w:rsidRPr="00764966">
        <w:t>Revision BA-Comparative Studies</w:t>
      </w:r>
    </w:p>
    <w:p w:rsidR="001E521D" w:rsidRPr="00F0007D" w:rsidRDefault="000B20B8" w:rsidP="001401BD">
      <w:pPr>
        <w:numPr>
          <w:ilvl w:val="1"/>
          <w:numId w:val="1"/>
        </w:numPr>
        <w:shd w:val="clear" w:color="auto" w:fill="FFFFFF" w:themeFill="background1"/>
        <w:spacing w:line="254" w:lineRule="atLeast"/>
        <w:ind w:right="360"/>
        <w:textAlignment w:val="baseline"/>
      </w:pPr>
      <w:r w:rsidRPr="00F0007D">
        <w:t xml:space="preserve">Taleghani-Nikazm, Wilson, </w:t>
      </w:r>
      <w:r w:rsidRPr="00F0007D">
        <w:rPr>
          <w:b/>
        </w:rPr>
        <w:t xml:space="preserve">unanimously approved </w:t>
      </w:r>
      <w:r w:rsidR="00F0007D" w:rsidRPr="00F0007D">
        <w:br/>
      </w:r>
    </w:p>
    <w:p w:rsidR="00B64CB5" w:rsidRDefault="00764966" w:rsidP="00273FB3">
      <w:pPr>
        <w:numPr>
          <w:ilvl w:val="0"/>
          <w:numId w:val="1"/>
        </w:numPr>
        <w:shd w:val="clear" w:color="auto" w:fill="FFFFFF"/>
        <w:spacing w:line="254" w:lineRule="atLeast"/>
        <w:ind w:right="360"/>
        <w:textAlignment w:val="baseline"/>
      </w:pPr>
      <w:r w:rsidRPr="00764966">
        <w:t>Comparative Studies 2099 (new course)</w:t>
      </w:r>
    </w:p>
    <w:p w:rsidR="00D85BA1" w:rsidRDefault="00273FB3" w:rsidP="00B64CB5">
      <w:pPr>
        <w:numPr>
          <w:ilvl w:val="1"/>
          <w:numId w:val="1"/>
        </w:numPr>
        <w:shd w:val="clear" w:color="auto" w:fill="FFFFFF"/>
        <w:spacing w:line="254" w:lineRule="atLeast"/>
        <w:ind w:right="360"/>
        <w:textAlignment w:val="baseline"/>
      </w:pPr>
      <w:r>
        <w:t>A one-credit hour course should be</w:t>
      </w:r>
      <w:r w:rsidR="00D85BA1">
        <w:t xml:space="preserve"> 12</w:t>
      </w:r>
      <w:r>
        <w:t>.5</w:t>
      </w:r>
      <w:r w:rsidR="00D85BA1">
        <w:t xml:space="preserve"> </w:t>
      </w:r>
      <w:r>
        <w:t xml:space="preserve">hours </w:t>
      </w:r>
      <w:r w:rsidR="00D85BA1">
        <w:t xml:space="preserve">of formalized instruction </w:t>
      </w:r>
      <w:r>
        <w:t xml:space="preserve">and a total of 37.5 hours including out-of-class work. It is not clear that students will be doing enough outside of the classroom to achieve 37.5 hours. </w:t>
      </w:r>
      <w:r w:rsidR="00500A8E">
        <w:t>Although this is a ‘guideline’, this course does not seem to come near to these hours.</w:t>
      </w:r>
    </w:p>
    <w:p w:rsidR="00273FB3" w:rsidRDefault="00273FB3" w:rsidP="00D85BA1">
      <w:pPr>
        <w:numPr>
          <w:ilvl w:val="2"/>
          <w:numId w:val="1"/>
        </w:numPr>
        <w:shd w:val="clear" w:color="auto" w:fill="FFFFFF"/>
        <w:spacing w:line="254" w:lineRule="atLeast"/>
        <w:ind w:right="360"/>
        <w:textAlignment w:val="baseline"/>
      </w:pPr>
      <w:r>
        <w:t xml:space="preserve">Required readings </w:t>
      </w:r>
    </w:p>
    <w:p w:rsidR="00D85BA1" w:rsidRDefault="00273FB3" w:rsidP="00273FB3">
      <w:pPr>
        <w:numPr>
          <w:ilvl w:val="3"/>
          <w:numId w:val="1"/>
        </w:numPr>
        <w:shd w:val="clear" w:color="auto" w:fill="FFFFFF"/>
        <w:spacing w:line="254" w:lineRule="atLeast"/>
        <w:ind w:right="360"/>
        <w:textAlignment w:val="baseline"/>
      </w:pPr>
      <w:r>
        <w:t xml:space="preserve">Not clear what readings are included other than academic biographies. </w:t>
      </w:r>
    </w:p>
    <w:p w:rsidR="00D85BA1" w:rsidRDefault="00273FB3" w:rsidP="00273FB3">
      <w:pPr>
        <w:numPr>
          <w:ilvl w:val="3"/>
          <w:numId w:val="1"/>
        </w:numPr>
        <w:shd w:val="clear" w:color="auto" w:fill="FFFFFF"/>
        <w:spacing w:line="254" w:lineRule="atLeast"/>
        <w:ind w:right="360"/>
        <w:textAlignment w:val="baseline"/>
      </w:pPr>
      <w:r>
        <w:t xml:space="preserve">Students must prepare </w:t>
      </w:r>
      <w:r w:rsidR="00D85BA1">
        <w:t>3 questions</w:t>
      </w:r>
      <w:r>
        <w:t xml:space="preserve"> for each class</w:t>
      </w:r>
      <w:r w:rsidR="00D85BA1">
        <w:t xml:space="preserve"> </w:t>
      </w:r>
      <w:r>
        <w:t xml:space="preserve">based on the academic biography. </w:t>
      </w:r>
    </w:p>
    <w:p w:rsidR="00273FB3" w:rsidRDefault="00273FB3" w:rsidP="00273FB3">
      <w:pPr>
        <w:numPr>
          <w:ilvl w:val="3"/>
          <w:numId w:val="1"/>
        </w:numPr>
        <w:shd w:val="clear" w:color="auto" w:fill="FFFFFF"/>
        <w:spacing w:line="254" w:lineRule="atLeast"/>
        <w:ind w:right="360"/>
        <w:textAlignment w:val="baseline"/>
      </w:pPr>
      <w:r>
        <w:t>Perhaps each faculty member will</w:t>
      </w:r>
      <w:r w:rsidR="00500A8E">
        <w:t xml:space="preserve"> provide readings for students?</w:t>
      </w:r>
    </w:p>
    <w:p w:rsidR="00D85BA1" w:rsidRDefault="00D85BA1" w:rsidP="00D85BA1">
      <w:pPr>
        <w:numPr>
          <w:ilvl w:val="2"/>
          <w:numId w:val="1"/>
        </w:numPr>
        <w:shd w:val="clear" w:color="auto" w:fill="FFFFFF"/>
        <w:spacing w:line="254" w:lineRule="atLeast"/>
        <w:ind w:right="360"/>
        <w:textAlignment w:val="baseline"/>
      </w:pPr>
      <w:r>
        <w:t xml:space="preserve">Could make it </w:t>
      </w:r>
      <w:r w:rsidR="00273FB3">
        <w:t>a half-</w:t>
      </w:r>
      <w:r>
        <w:t>credit hour</w:t>
      </w:r>
      <w:r w:rsidR="00273FB3">
        <w:t xml:space="preserve"> course</w:t>
      </w:r>
      <w:r>
        <w:t xml:space="preserve"> instead of a full credit hour </w:t>
      </w:r>
    </w:p>
    <w:p w:rsidR="0010364D" w:rsidRPr="0010364D" w:rsidRDefault="008E119A" w:rsidP="0010364D">
      <w:pPr>
        <w:numPr>
          <w:ilvl w:val="2"/>
          <w:numId w:val="1"/>
        </w:numPr>
        <w:shd w:val="clear" w:color="auto" w:fill="FFFFFF"/>
        <w:spacing w:line="254" w:lineRule="atLeast"/>
        <w:ind w:right="360"/>
        <w:textAlignment w:val="baseline"/>
        <w:rPr>
          <w:b/>
        </w:rPr>
      </w:pPr>
      <w:r>
        <w:rPr>
          <w:b/>
        </w:rPr>
        <w:t>The syllabus did not provide enough detail about the work students would be required to do outside of the classroom to fulfill the one credit hour requirement. The department should e</w:t>
      </w:r>
      <w:r w:rsidR="0010364D" w:rsidRPr="00273FB3">
        <w:rPr>
          <w:b/>
        </w:rPr>
        <w:t>laborate on the packet of reading materials</w:t>
      </w:r>
      <w:r w:rsidR="0010364D">
        <w:rPr>
          <w:b/>
        </w:rPr>
        <w:t xml:space="preserve"> providing clarification of the types of readings that will be required</w:t>
      </w:r>
      <w:r w:rsidR="0010364D" w:rsidRPr="00273FB3">
        <w:rPr>
          <w:b/>
        </w:rPr>
        <w:t xml:space="preserve">. According to the schedule of meetings in the syllabus, the only readings are the academic biographies. </w:t>
      </w:r>
    </w:p>
    <w:p w:rsidR="004C1404" w:rsidRDefault="00273FB3" w:rsidP="00273FB3">
      <w:pPr>
        <w:numPr>
          <w:ilvl w:val="1"/>
          <w:numId w:val="1"/>
        </w:numPr>
        <w:shd w:val="clear" w:color="auto" w:fill="FFFFFF"/>
        <w:spacing w:line="254" w:lineRule="atLeast"/>
        <w:ind w:right="360"/>
        <w:textAlignment w:val="baseline"/>
      </w:pPr>
      <w:r>
        <w:t>Course is being u</w:t>
      </w:r>
      <w:r w:rsidR="004C1404">
        <w:t>sed to increase engagement and contact time with students</w:t>
      </w:r>
      <w:r>
        <w:t>.</w:t>
      </w:r>
      <w:r w:rsidR="004C1404">
        <w:t xml:space="preserve"> </w:t>
      </w:r>
    </w:p>
    <w:p w:rsidR="00BD2414" w:rsidRDefault="00BD2414" w:rsidP="00273FB3">
      <w:pPr>
        <w:numPr>
          <w:ilvl w:val="1"/>
          <w:numId w:val="1"/>
        </w:numPr>
        <w:shd w:val="clear" w:color="auto" w:fill="FFFFFF"/>
        <w:spacing w:line="254" w:lineRule="atLeast"/>
        <w:ind w:right="360"/>
        <w:textAlignment w:val="baseline"/>
      </w:pPr>
      <w:r>
        <w:t xml:space="preserve">Seems more like a </w:t>
      </w:r>
      <w:r w:rsidR="00273FB3">
        <w:t xml:space="preserve">syllabus template than an actual syllabus. </w:t>
      </w:r>
      <w:r>
        <w:t xml:space="preserve">If students get this syllabus they will be under the impression that there are no readings. </w:t>
      </w:r>
    </w:p>
    <w:p w:rsidR="00354AF8" w:rsidRPr="00764966" w:rsidRDefault="002F2E30" w:rsidP="00354AF8">
      <w:pPr>
        <w:numPr>
          <w:ilvl w:val="1"/>
          <w:numId w:val="1"/>
        </w:numPr>
        <w:shd w:val="clear" w:color="auto" w:fill="FFFFFF"/>
        <w:spacing w:line="254" w:lineRule="atLeast"/>
        <w:ind w:right="360"/>
        <w:textAlignment w:val="baseline"/>
      </w:pPr>
      <w:r w:rsidRPr="00F0007D">
        <w:t>Taleghani-Nikazm</w:t>
      </w:r>
      <w:r w:rsidR="00354AF8">
        <w:t xml:space="preserve">, Wilson, </w:t>
      </w:r>
      <w:r w:rsidR="00354AF8" w:rsidRPr="00273FB3">
        <w:rPr>
          <w:b/>
        </w:rPr>
        <w:t xml:space="preserve">unanimously approved </w:t>
      </w:r>
      <w:r w:rsidR="00273FB3" w:rsidRPr="00273FB3">
        <w:rPr>
          <w:b/>
        </w:rPr>
        <w:t xml:space="preserve">with one contingency </w:t>
      </w:r>
      <w:r w:rsidR="00273FB3">
        <w:rPr>
          <w:b/>
        </w:rPr>
        <w:t>(</w:t>
      </w:r>
      <w:r w:rsidR="00273FB3" w:rsidRPr="00273FB3">
        <w:rPr>
          <w:b/>
        </w:rPr>
        <w:t>in bold above</w:t>
      </w:r>
      <w:r w:rsidR="00273FB3">
        <w:rPr>
          <w:b/>
        </w:rPr>
        <w:t>)</w:t>
      </w:r>
      <w:r w:rsidRPr="00273FB3">
        <w:br/>
      </w:r>
    </w:p>
    <w:p w:rsidR="00764966" w:rsidRDefault="00764966" w:rsidP="00764966">
      <w:pPr>
        <w:numPr>
          <w:ilvl w:val="0"/>
          <w:numId w:val="1"/>
        </w:numPr>
        <w:shd w:val="clear" w:color="auto" w:fill="FFFFFF"/>
        <w:spacing w:line="254" w:lineRule="atLeast"/>
        <w:ind w:right="360"/>
        <w:textAlignment w:val="baseline"/>
      </w:pPr>
      <w:r w:rsidRPr="00764966">
        <w:t>Comparative Studies 3501 (new course; requesting GE Cultures and Ideas)</w:t>
      </w:r>
    </w:p>
    <w:p w:rsidR="002F2E30" w:rsidRPr="002F2E30" w:rsidRDefault="002F2E30" w:rsidP="00B64CB5">
      <w:pPr>
        <w:numPr>
          <w:ilvl w:val="1"/>
          <w:numId w:val="1"/>
        </w:numPr>
        <w:shd w:val="clear" w:color="auto" w:fill="FFFFFF"/>
        <w:spacing w:line="254" w:lineRule="atLeast"/>
        <w:ind w:right="360"/>
        <w:textAlignment w:val="baseline"/>
        <w:rPr>
          <w:i/>
        </w:rPr>
      </w:pPr>
      <w:r w:rsidRPr="002F2E30">
        <w:rPr>
          <w:i/>
        </w:rPr>
        <w:t xml:space="preserve">Remove the GE Diversity: Global Studies language from the syllabi. This course is only requesting the GE Cultures and Ideas category. </w:t>
      </w:r>
    </w:p>
    <w:p w:rsidR="00154D06" w:rsidRPr="002F2E30" w:rsidRDefault="002F2E30" w:rsidP="00B64CB5">
      <w:pPr>
        <w:numPr>
          <w:ilvl w:val="1"/>
          <w:numId w:val="1"/>
        </w:numPr>
        <w:shd w:val="clear" w:color="auto" w:fill="FFFFFF"/>
        <w:spacing w:line="254" w:lineRule="atLeast"/>
        <w:ind w:right="360"/>
        <w:textAlignment w:val="baseline"/>
        <w:rPr>
          <w:b/>
        </w:rPr>
      </w:pPr>
      <w:r w:rsidRPr="002F2E30">
        <w:rPr>
          <w:b/>
        </w:rPr>
        <w:t xml:space="preserve">Request concurrence from International Studies </w:t>
      </w:r>
    </w:p>
    <w:p w:rsidR="00735163" w:rsidRPr="00764966" w:rsidRDefault="002F2E30" w:rsidP="00B64CB5">
      <w:pPr>
        <w:numPr>
          <w:ilvl w:val="1"/>
          <w:numId w:val="1"/>
        </w:numPr>
        <w:shd w:val="clear" w:color="auto" w:fill="FFFFFF"/>
        <w:spacing w:line="254" w:lineRule="atLeast"/>
        <w:ind w:right="360"/>
        <w:textAlignment w:val="baseline"/>
      </w:pPr>
      <w:r w:rsidRPr="00F0007D">
        <w:t>Taleghani-Nikazm</w:t>
      </w:r>
      <w:r w:rsidR="00AE4A57">
        <w:t xml:space="preserve">, Wilson, </w:t>
      </w:r>
      <w:r w:rsidR="00AE4A57" w:rsidRPr="002F2E30">
        <w:rPr>
          <w:b/>
        </w:rPr>
        <w:t xml:space="preserve">unanimously approved </w:t>
      </w:r>
      <w:r w:rsidRPr="002F2E30">
        <w:rPr>
          <w:b/>
        </w:rPr>
        <w:t>with one contingency (in bold above)</w:t>
      </w:r>
      <w:r w:rsidRPr="002F2E30">
        <w:rPr>
          <w:b/>
          <w:i/>
        </w:rPr>
        <w:t xml:space="preserve"> </w:t>
      </w:r>
      <w:r w:rsidRPr="002F2E30">
        <w:rPr>
          <w:i/>
        </w:rPr>
        <w:t xml:space="preserve">and one </w:t>
      </w:r>
      <w:r>
        <w:rPr>
          <w:i/>
        </w:rPr>
        <w:t xml:space="preserve">recommendation </w:t>
      </w:r>
      <w:r w:rsidRPr="002F2E30">
        <w:rPr>
          <w:i/>
        </w:rPr>
        <w:t xml:space="preserve">(in italics above) </w:t>
      </w:r>
      <w:r>
        <w:br/>
      </w:r>
    </w:p>
    <w:p w:rsidR="00764966" w:rsidRDefault="00764966" w:rsidP="00764966">
      <w:pPr>
        <w:numPr>
          <w:ilvl w:val="0"/>
          <w:numId w:val="1"/>
        </w:numPr>
        <w:shd w:val="clear" w:color="auto" w:fill="FFFFFF"/>
        <w:spacing w:line="254" w:lineRule="atLeast"/>
        <w:ind w:right="360"/>
        <w:textAlignment w:val="baseline"/>
      </w:pPr>
      <w:r w:rsidRPr="00764966">
        <w:t>Comparative Studies 4822 (course change; existing course requesting GE Cultures and Ideas and GE Social Diversity in the US)</w:t>
      </w:r>
    </w:p>
    <w:p w:rsidR="00E21744" w:rsidRDefault="00C053FC" w:rsidP="00722E7D">
      <w:pPr>
        <w:numPr>
          <w:ilvl w:val="1"/>
          <w:numId w:val="1"/>
        </w:numPr>
        <w:shd w:val="clear" w:color="auto" w:fill="FFFFFF"/>
        <w:spacing w:line="254" w:lineRule="atLeast"/>
        <w:ind w:right="360"/>
        <w:textAlignment w:val="baseline"/>
      </w:pPr>
      <w:r>
        <w:t xml:space="preserve">Grading scale is </w:t>
      </w:r>
      <w:r w:rsidR="00722E7D">
        <w:t xml:space="preserve">not standard but it is not an issue as there is no unified OSU grading scale. </w:t>
      </w:r>
    </w:p>
    <w:p w:rsidR="00E21744" w:rsidRDefault="00722E7D" w:rsidP="00E21744">
      <w:pPr>
        <w:numPr>
          <w:ilvl w:val="1"/>
          <w:numId w:val="1"/>
        </w:numPr>
        <w:shd w:val="clear" w:color="auto" w:fill="FFFFFF"/>
        <w:spacing w:line="254" w:lineRule="atLeast"/>
        <w:ind w:right="360"/>
        <w:textAlignment w:val="baseline"/>
      </w:pPr>
      <w:r w:rsidRPr="00722E7D">
        <w:rPr>
          <w:i/>
        </w:rPr>
        <w:t xml:space="preserve">Use the boilerplate </w:t>
      </w:r>
      <w:r w:rsidR="00E21744" w:rsidRPr="00722E7D">
        <w:rPr>
          <w:i/>
        </w:rPr>
        <w:t xml:space="preserve">Disability </w:t>
      </w:r>
      <w:r w:rsidRPr="00722E7D">
        <w:rPr>
          <w:i/>
        </w:rPr>
        <w:t>Services language found on page 14 of the ASC Curriculum and Assessment Operations Manual.</w:t>
      </w:r>
    </w:p>
    <w:p w:rsidR="00722E7D" w:rsidRPr="00831FAC" w:rsidRDefault="00722E7D" w:rsidP="00722E7D">
      <w:pPr>
        <w:numPr>
          <w:ilvl w:val="1"/>
          <w:numId w:val="1"/>
        </w:numPr>
        <w:rPr>
          <w:i/>
        </w:rPr>
      </w:pPr>
      <w:r w:rsidRPr="00831FAC">
        <w:rPr>
          <w:i/>
        </w:rPr>
        <w:lastRenderedPageBreak/>
        <w:t>In the GE rationale document, the boilerplate for the GE Culture and Ideas includes outdated (i.e., pre-</w:t>
      </w:r>
      <w:r>
        <w:rPr>
          <w:i/>
        </w:rPr>
        <w:t xml:space="preserve">semester </w:t>
      </w:r>
      <w:r w:rsidRPr="00831FAC">
        <w:rPr>
          <w:i/>
        </w:rPr>
        <w:t xml:space="preserve">conversion) language pertaining to the </w:t>
      </w:r>
      <w:r>
        <w:rPr>
          <w:i/>
        </w:rPr>
        <w:t xml:space="preserve">defunct </w:t>
      </w:r>
      <w:r w:rsidRPr="00831FAC">
        <w:rPr>
          <w:i/>
        </w:rPr>
        <w:t>Arts and Humanities umbrella category. The GE rationale should only address the two expected learning outcomes for Cultures and Ideas.</w:t>
      </w:r>
    </w:p>
    <w:p w:rsidR="008721A6" w:rsidRPr="00764966" w:rsidRDefault="00435664" w:rsidP="005A5BB5">
      <w:pPr>
        <w:numPr>
          <w:ilvl w:val="1"/>
          <w:numId w:val="1"/>
        </w:numPr>
        <w:shd w:val="clear" w:color="auto" w:fill="FFFFFF"/>
        <w:spacing w:line="254" w:lineRule="atLeast"/>
        <w:ind w:right="360"/>
        <w:textAlignment w:val="baseline"/>
      </w:pPr>
      <w:r>
        <w:t xml:space="preserve">Wilson, </w:t>
      </w:r>
      <w:r w:rsidR="002F2E30" w:rsidRPr="00F0007D">
        <w:t>Taleghani-Nikazm</w:t>
      </w:r>
      <w:r>
        <w:t xml:space="preserve">, </w:t>
      </w:r>
      <w:r w:rsidRPr="00722E7D">
        <w:rPr>
          <w:b/>
        </w:rPr>
        <w:t>unanimously approved</w:t>
      </w:r>
      <w:r>
        <w:t xml:space="preserve"> </w:t>
      </w:r>
      <w:r w:rsidR="00722E7D" w:rsidRPr="00722E7D">
        <w:rPr>
          <w:i/>
        </w:rPr>
        <w:t>with two recommendation</w:t>
      </w:r>
      <w:r w:rsidR="00764AC1">
        <w:rPr>
          <w:i/>
        </w:rPr>
        <w:t>s</w:t>
      </w:r>
      <w:r w:rsidR="00722E7D" w:rsidRPr="00722E7D">
        <w:rPr>
          <w:i/>
        </w:rPr>
        <w:t xml:space="preserve"> (in italics above) </w:t>
      </w:r>
      <w:r w:rsidR="002F2E30">
        <w:br/>
      </w:r>
    </w:p>
    <w:p w:rsidR="00764966" w:rsidRDefault="00764966" w:rsidP="00764966">
      <w:pPr>
        <w:numPr>
          <w:ilvl w:val="0"/>
          <w:numId w:val="1"/>
        </w:numPr>
        <w:shd w:val="clear" w:color="auto" w:fill="FFFFFF"/>
        <w:spacing w:line="254" w:lineRule="atLeast"/>
        <w:ind w:right="360"/>
        <w:textAlignment w:val="baseline"/>
      </w:pPr>
      <w:r w:rsidRPr="00764966">
        <w:t>Uzbek 3102 (new course)</w:t>
      </w:r>
    </w:p>
    <w:p w:rsidR="00B64CB5" w:rsidRDefault="005A5BB5" w:rsidP="00B64CB5">
      <w:pPr>
        <w:numPr>
          <w:ilvl w:val="1"/>
          <w:numId w:val="1"/>
        </w:numPr>
        <w:shd w:val="clear" w:color="auto" w:fill="FFFFFF"/>
        <w:spacing w:line="254" w:lineRule="atLeast"/>
        <w:ind w:right="360"/>
        <w:textAlignment w:val="baseline"/>
      </w:pPr>
      <w:r>
        <w:t xml:space="preserve">Course goal </w:t>
      </w:r>
      <w:r w:rsidR="00777D69">
        <w:t xml:space="preserve">of language </w:t>
      </w:r>
      <w:r>
        <w:t xml:space="preserve">fluency </w:t>
      </w:r>
      <w:r w:rsidR="00777D69">
        <w:t xml:space="preserve">is </w:t>
      </w:r>
      <w:r>
        <w:t>unrealistic</w:t>
      </w:r>
      <w:r w:rsidR="00777D69">
        <w:t>.</w:t>
      </w:r>
      <w:r>
        <w:t xml:space="preserve"> </w:t>
      </w:r>
    </w:p>
    <w:p w:rsidR="005A5BB5" w:rsidRPr="00777D69" w:rsidRDefault="00777D69" w:rsidP="00777D69">
      <w:pPr>
        <w:numPr>
          <w:ilvl w:val="2"/>
          <w:numId w:val="1"/>
        </w:numPr>
        <w:shd w:val="clear" w:color="auto" w:fill="FFFFFF"/>
        <w:spacing w:line="254" w:lineRule="atLeast"/>
        <w:ind w:right="360"/>
        <w:textAlignment w:val="baseline"/>
        <w:rPr>
          <w:i/>
        </w:rPr>
      </w:pPr>
      <w:r w:rsidRPr="00777D69">
        <w:rPr>
          <w:i/>
        </w:rPr>
        <w:t xml:space="preserve">Modify course goal from </w:t>
      </w:r>
      <w:r>
        <w:rPr>
          <w:i/>
        </w:rPr>
        <w:t>“fluency”</w:t>
      </w:r>
      <w:r w:rsidRPr="00777D69">
        <w:rPr>
          <w:i/>
        </w:rPr>
        <w:t xml:space="preserve"> to </w:t>
      </w:r>
      <w:r w:rsidR="00500A8E">
        <w:rPr>
          <w:i/>
        </w:rPr>
        <w:t>‘</w:t>
      </w:r>
      <w:r w:rsidRPr="00777D69">
        <w:rPr>
          <w:i/>
        </w:rPr>
        <w:t>proficiency</w:t>
      </w:r>
      <w:r w:rsidR="00500A8E">
        <w:rPr>
          <w:i/>
        </w:rPr>
        <w:t>-</w:t>
      </w:r>
      <w:r w:rsidRPr="00777D69">
        <w:rPr>
          <w:i/>
        </w:rPr>
        <w:t>orie</w:t>
      </w:r>
      <w:r>
        <w:rPr>
          <w:i/>
        </w:rPr>
        <w:t>nted</w:t>
      </w:r>
      <w:r w:rsidR="00500A8E">
        <w:rPr>
          <w:i/>
        </w:rPr>
        <w:t>’</w:t>
      </w:r>
      <w:r>
        <w:rPr>
          <w:i/>
        </w:rPr>
        <w:t xml:space="preserve"> or </w:t>
      </w:r>
      <w:r w:rsidR="00500A8E">
        <w:rPr>
          <w:i/>
        </w:rPr>
        <w:t>‘</w:t>
      </w:r>
      <w:r>
        <w:rPr>
          <w:i/>
        </w:rPr>
        <w:t>working towards fluency</w:t>
      </w:r>
      <w:r w:rsidR="00500A8E">
        <w:rPr>
          <w:i/>
        </w:rPr>
        <w:t>’</w:t>
      </w:r>
      <w:r>
        <w:rPr>
          <w:i/>
        </w:rPr>
        <w:t>.</w:t>
      </w:r>
      <w:r w:rsidR="005A5BB5">
        <w:t xml:space="preserve"> </w:t>
      </w:r>
    </w:p>
    <w:p w:rsidR="005A5BB5" w:rsidRPr="00777D69" w:rsidRDefault="00777D69" w:rsidP="00B64CB5">
      <w:pPr>
        <w:numPr>
          <w:ilvl w:val="1"/>
          <w:numId w:val="1"/>
        </w:numPr>
        <w:shd w:val="clear" w:color="auto" w:fill="FFFFFF"/>
        <w:spacing w:line="254" w:lineRule="atLeast"/>
        <w:ind w:right="360"/>
        <w:textAlignment w:val="baseline"/>
        <w:rPr>
          <w:i/>
        </w:rPr>
      </w:pPr>
      <w:r w:rsidRPr="00777D69">
        <w:rPr>
          <w:i/>
        </w:rPr>
        <w:t>Since the course is not a distance learning course, the reference to d</w:t>
      </w:r>
      <w:r w:rsidR="005A5BB5" w:rsidRPr="00777D69">
        <w:rPr>
          <w:i/>
        </w:rPr>
        <w:t>istance technology</w:t>
      </w:r>
      <w:r w:rsidRPr="00777D69">
        <w:rPr>
          <w:i/>
        </w:rPr>
        <w:t xml:space="preserve"> as a teaching method on the syllabus should be removed.</w:t>
      </w:r>
    </w:p>
    <w:p w:rsidR="005A5BB5" w:rsidRPr="00777D69" w:rsidRDefault="00777D69" w:rsidP="00B64CB5">
      <w:pPr>
        <w:numPr>
          <w:ilvl w:val="1"/>
          <w:numId w:val="1"/>
        </w:numPr>
        <w:shd w:val="clear" w:color="auto" w:fill="FFFFFF"/>
        <w:spacing w:line="254" w:lineRule="atLeast"/>
        <w:ind w:right="360"/>
        <w:textAlignment w:val="baseline"/>
        <w:rPr>
          <w:i/>
        </w:rPr>
      </w:pPr>
      <w:r w:rsidRPr="00777D69">
        <w:rPr>
          <w:i/>
        </w:rPr>
        <w:t xml:space="preserve">Attendance policy should read “expected to attend every </w:t>
      </w:r>
      <w:r w:rsidR="005A5BB5" w:rsidRPr="00777D69">
        <w:rPr>
          <w:i/>
        </w:rPr>
        <w:t>c</w:t>
      </w:r>
      <w:r w:rsidRPr="00777D69">
        <w:rPr>
          <w:i/>
        </w:rPr>
        <w:t>lass</w:t>
      </w:r>
      <w:r w:rsidR="005A5BB5" w:rsidRPr="00777D69">
        <w:rPr>
          <w:i/>
        </w:rPr>
        <w:t xml:space="preserve">” </w:t>
      </w:r>
      <w:r w:rsidRPr="00777D69">
        <w:rPr>
          <w:i/>
        </w:rPr>
        <w:t>instead of course.</w:t>
      </w:r>
    </w:p>
    <w:p w:rsidR="005A5BB5" w:rsidRPr="00777D69" w:rsidRDefault="00777D69" w:rsidP="00B64CB5">
      <w:pPr>
        <w:numPr>
          <w:ilvl w:val="1"/>
          <w:numId w:val="1"/>
        </w:numPr>
        <w:shd w:val="clear" w:color="auto" w:fill="FFFFFF"/>
        <w:spacing w:line="254" w:lineRule="atLeast"/>
        <w:ind w:right="360"/>
        <w:textAlignment w:val="baseline"/>
        <w:rPr>
          <w:i/>
        </w:rPr>
      </w:pPr>
      <w:r w:rsidRPr="00777D69">
        <w:rPr>
          <w:i/>
        </w:rPr>
        <w:t>Provide more information about assignments and tests</w:t>
      </w:r>
      <w:r w:rsidR="00F947F0">
        <w:rPr>
          <w:i/>
        </w:rPr>
        <w:t xml:space="preserve"> on the syllabus</w:t>
      </w:r>
      <w:r>
        <w:rPr>
          <w:i/>
        </w:rPr>
        <w:t>,</w:t>
      </w:r>
      <w:r w:rsidRPr="00777D69">
        <w:rPr>
          <w:i/>
        </w:rPr>
        <w:t xml:space="preserve"> </w:t>
      </w:r>
      <w:r>
        <w:rPr>
          <w:i/>
        </w:rPr>
        <w:t>including the due dates</w:t>
      </w:r>
      <w:r w:rsidR="00F947F0">
        <w:rPr>
          <w:i/>
        </w:rPr>
        <w:t>.</w:t>
      </w:r>
    </w:p>
    <w:p w:rsidR="004A206E" w:rsidRPr="00764966" w:rsidRDefault="002F2E30" w:rsidP="00B64CB5">
      <w:pPr>
        <w:numPr>
          <w:ilvl w:val="1"/>
          <w:numId w:val="1"/>
        </w:numPr>
        <w:shd w:val="clear" w:color="auto" w:fill="FFFFFF"/>
        <w:spacing w:line="254" w:lineRule="atLeast"/>
        <w:ind w:right="360"/>
        <w:textAlignment w:val="baseline"/>
      </w:pPr>
      <w:r w:rsidRPr="00F0007D">
        <w:t>Taleghani-Nikazm</w:t>
      </w:r>
      <w:r w:rsidR="004A206E">
        <w:t xml:space="preserve">, Wilson, </w:t>
      </w:r>
      <w:r w:rsidR="004A206E" w:rsidRPr="006917CC">
        <w:rPr>
          <w:b/>
        </w:rPr>
        <w:t>u</w:t>
      </w:r>
      <w:r w:rsidR="004A206E" w:rsidRPr="00777D69">
        <w:rPr>
          <w:b/>
        </w:rPr>
        <w:t>nanimously approved</w:t>
      </w:r>
      <w:r w:rsidR="004A206E">
        <w:t xml:space="preserve"> </w:t>
      </w:r>
      <w:r w:rsidR="00777D69" w:rsidRPr="00777D69">
        <w:rPr>
          <w:i/>
        </w:rPr>
        <w:t>with</w:t>
      </w:r>
      <w:r w:rsidR="00777D69">
        <w:rPr>
          <w:i/>
        </w:rPr>
        <w:t xml:space="preserve"> 4</w:t>
      </w:r>
      <w:r w:rsidR="00777D69" w:rsidRPr="00777D69">
        <w:rPr>
          <w:i/>
        </w:rPr>
        <w:t xml:space="preserve"> recommendations (in italics above) </w:t>
      </w:r>
      <w:r w:rsidRPr="00777D69">
        <w:rPr>
          <w:i/>
        </w:rPr>
        <w:br/>
      </w:r>
    </w:p>
    <w:p w:rsidR="00764966" w:rsidRDefault="00764966" w:rsidP="00764966">
      <w:pPr>
        <w:numPr>
          <w:ilvl w:val="0"/>
          <w:numId w:val="1"/>
        </w:numPr>
        <w:shd w:val="clear" w:color="auto" w:fill="FFFFFF"/>
        <w:spacing w:line="254" w:lineRule="atLeast"/>
        <w:ind w:right="360"/>
        <w:textAlignment w:val="baseline"/>
      </w:pPr>
      <w:r w:rsidRPr="00764966">
        <w:t>French 5104 (course change; number change from 7101)</w:t>
      </w:r>
    </w:p>
    <w:p w:rsidR="00383E71" w:rsidRPr="006917CC" w:rsidRDefault="006917CC" w:rsidP="00B64CB5">
      <w:pPr>
        <w:numPr>
          <w:ilvl w:val="1"/>
          <w:numId w:val="1"/>
        </w:numPr>
        <w:shd w:val="clear" w:color="auto" w:fill="FFFFFF"/>
        <w:spacing w:line="254" w:lineRule="atLeast"/>
        <w:ind w:right="360"/>
        <w:textAlignment w:val="baseline"/>
        <w:rPr>
          <w:i/>
        </w:rPr>
      </w:pPr>
      <w:r w:rsidRPr="006917CC">
        <w:rPr>
          <w:i/>
        </w:rPr>
        <w:t>Include a grading scale on the syllabus</w:t>
      </w:r>
      <w:r>
        <w:rPr>
          <w:i/>
        </w:rPr>
        <w:t>.</w:t>
      </w:r>
      <w:r w:rsidRPr="006917CC">
        <w:rPr>
          <w:i/>
        </w:rPr>
        <w:t xml:space="preserve"> </w:t>
      </w:r>
      <w:r w:rsidR="009A1DA7" w:rsidRPr="006917CC">
        <w:rPr>
          <w:i/>
        </w:rPr>
        <w:t xml:space="preserve"> </w:t>
      </w:r>
    </w:p>
    <w:p w:rsidR="00DE4EA2" w:rsidRPr="006917CC" w:rsidRDefault="009A1DA7" w:rsidP="00B64CB5">
      <w:pPr>
        <w:numPr>
          <w:ilvl w:val="1"/>
          <w:numId w:val="1"/>
        </w:numPr>
        <w:shd w:val="clear" w:color="auto" w:fill="FFFFFF"/>
        <w:spacing w:line="254" w:lineRule="atLeast"/>
        <w:ind w:right="360"/>
        <w:textAlignment w:val="baseline"/>
        <w:rPr>
          <w:i/>
        </w:rPr>
      </w:pPr>
      <w:r>
        <w:t xml:space="preserve">Wilson, </w:t>
      </w:r>
      <w:r w:rsidR="002F2E30" w:rsidRPr="00F0007D">
        <w:t>Taleghani-Nikazm</w:t>
      </w:r>
      <w:r>
        <w:t xml:space="preserve">, </w:t>
      </w:r>
      <w:r w:rsidRPr="006917CC">
        <w:rPr>
          <w:b/>
        </w:rPr>
        <w:t>unanimously approved</w:t>
      </w:r>
      <w:r>
        <w:t xml:space="preserve"> </w:t>
      </w:r>
      <w:r w:rsidR="006917CC" w:rsidRPr="006917CC">
        <w:rPr>
          <w:i/>
        </w:rPr>
        <w:t xml:space="preserve">with one recommendation (in italics above) </w:t>
      </w:r>
    </w:p>
    <w:p w:rsidR="0058689F" w:rsidRPr="00764966" w:rsidRDefault="0058689F"/>
    <w:sectPr w:rsidR="0058689F" w:rsidRPr="00764966" w:rsidSect="005868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06C5" w:rsidRDefault="001C06C5" w:rsidP="001C06C5">
      <w:r>
        <w:separator/>
      </w:r>
    </w:p>
  </w:endnote>
  <w:endnote w:type="continuationSeparator" w:id="0">
    <w:p w:rsidR="001C06C5" w:rsidRDefault="001C06C5" w:rsidP="001C06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C06C5" w:rsidRDefault="001C06C5" w:rsidP="001C06C5">
      <w:r>
        <w:separator/>
      </w:r>
    </w:p>
  </w:footnote>
  <w:footnote w:type="continuationSeparator" w:id="0">
    <w:p w:rsidR="001C06C5" w:rsidRDefault="001C06C5" w:rsidP="001C06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0D7BEB"/>
    <w:multiLevelType w:val="multilevel"/>
    <w:tmpl w:val="229AF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000000" w:themeColor="text1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D8C6CFE"/>
    <w:multiLevelType w:val="hybridMultilevel"/>
    <w:tmpl w:val="E6784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966"/>
    <w:rsid w:val="00011DD6"/>
    <w:rsid w:val="00065613"/>
    <w:rsid w:val="000724E2"/>
    <w:rsid w:val="000B20B8"/>
    <w:rsid w:val="000C1EA5"/>
    <w:rsid w:val="0010364D"/>
    <w:rsid w:val="001401BD"/>
    <w:rsid w:val="001403C8"/>
    <w:rsid w:val="00154AAA"/>
    <w:rsid w:val="00154D06"/>
    <w:rsid w:val="001552A3"/>
    <w:rsid w:val="001769C3"/>
    <w:rsid w:val="00194E33"/>
    <w:rsid w:val="001A189D"/>
    <w:rsid w:val="001A4F72"/>
    <w:rsid w:val="001C06C5"/>
    <w:rsid w:val="001E521D"/>
    <w:rsid w:val="001F7A42"/>
    <w:rsid w:val="00216657"/>
    <w:rsid w:val="00273FB3"/>
    <w:rsid w:val="00281EC0"/>
    <w:rsid w:val="002945FA"/>
    <w:rsid w:val="002E0107"/>
    <w:rsid w:val="002F2E30"/>
    <w:rsid w:val="002F7862"/>
    <w:rsid w:val="00322624"/>
    <w:rsid w:val="00331656"/>
    <w:rsid w:val="00347E23"/>
    <w:rsid w:val="00354AF8"/>
    <w:rsid w:val="00383E71"/>
    <w:rsid w:val="003909A9"/>
    <w:rsid w:val="003A4F7E"/>
    <w:rsid w:val="003C3E7F"/>
    <w:rsid w:val="003C624E"/>
    <w:rsid w:val="00435664"/>
    <w:rsid w:val="00450662"/>
    <w:rsid w:val="004A206E"/>
    <w:rsid w:val="004C1404"/>
    <w:rsid w:val="004C48C8"/>
    <w:rsid w:val="004D4898"/>
    <w:rsid w:val="00500A8E"/>
    <w:rsid w:val="0053051E"/>
    <w:rsid w:val="005707DF"/>
    <w:rsid w:val="0058689F"/>
    <w:rsid w:val="005A2955"/>
    <w:rsid w:val="005A5BB5"/>
    <w:rsid w:val="005D7B51"/>
    <w:rsid w:val="005F37A8"/>
    <w:rsid w:val="005F47D8"/>
    <w:rsid w:val="006123FD"/>
    <w:rsid w:val="006576E9"/>
    <w:rsid w:val="006917CC"/>
    <w:rsid w:val="006A2EF2"/>
    <w:rsid w:val="00707116"/>
    <w:rsid w:val="00710B74"/>
    <w:rsid w:val="00722E7D"/>
    <w:rsid w:val="00735163"/>
    <w:rsid w:val="00764966"/>
    <w:rsid w:val="00764AC1"/>
    <w:rsid w:val="00777D69"/>
    <w:rsid w:val="007E18D9"/>
    <w:rsid w:val="00801B91"/>
    <w:rsid w:val="00843AA4"/>
    <w:rsid w:val="008721A6"/>
    <w:rsid w:val="00877027"/>
    <w:rsid w:val="008E119A"/>
    <w:rsid w:val="00901314"/>
    <w:rsid w:val="0092465E"/>
    <w:rsid w:val="009510B5"/>
    <w:rsid w:val="009563A0"/>
    <w:rsid w:val="009A1DA7"/>
    <w:rsid w:val="00A16763"/>
    <w:rsid w:val="00A33A77"/>
    <w:rsid w:val="00A721D7"/>
    <w:rsid w:val="00A93352"/>
    <w:rsid w:val="00A95F47"/>
    <w:rsid w:val="00AB0B11"/>
    <w:rsid w:val="00AE4A57"/>
    <w:rsid w:val="00B21223"/>
    <w:rsid w:val="00B249FF"/>
    <w:rsid w:val="00B3007A"/>
    <w:rsid w:val="00B64CB5"/>
    <w:rsid w:val="00B73A72"/>
    <w:rsid w:val="00B81BE9"/>
    <w:rsid w:val="00B96CBC"/>
    <w:rsid w:val="00BA7B85"/>
    <w:rsid w:val="00BC19AB"/>
    <w:rsid w:val="00BD2414"/>
    <w:rsid w:val="00C053FC"/>
    <w:rsid w:val="00C15114"/>
    <w:rsid w:val="00CA1FEA"/>
    <w:rsid w:val="00D0710C"/>
    <w:rsid w:val="00D165A1"/>
    <w:rsid w:val="00D85BA1"/>
    <w:rsid w:val="00DB76AF"/>
    <w:rsid w:val="00DE4EA2"/>
    <w:rsid w:val="00DE7FDD"/>
    <w:rsid w:val="00E1014A"/>
    <w:rsid w:val="00E21744"/>
    <w:rsid w:val="00E630D8"/>
    <w:rsid w:val="00E96493"/>
    <w:rsid w:val="00EB58B1"/>
    <w:rsid w:val="00EC30AF"/>
    <w:rsid w:val="00EC63D0"/>
    <w:rsid w:val="00F0007D"/>
    <w:rsid w:val="00F252DC"/>
    <w:rsid w:val="00F62BCE"/>
    <w:rsid w:val="00F80861"/>
    <w:rsid w:val="00F947F0"/>
    <w:rsid w:val="00FA005C"/>
    <w:rsid w:val="00FC2415"/>
    <w:rsid w:val="00FD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5378A5F-2162-4CB4-A1DE-8FCFB19BE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9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64966"/>
    <w:pPr>
      <w:spacing w:before="100" w:beforeAutospacing="1" w:after="100" w:afterAutospacing="1"/>
    </w:pPr>
  </w:style>
  <w:style w:type="paragraph" w:styleId="Header">
    <w:name w:val="header"/>
    <w:basedOn w:val="Normal"/>
    <w:link w:val="HeaderChar"/>
    <w:uiPriority w:val="99"/>
    <w:semiHidden/>
    <w:unhideWhenUsed/>
    <w:rsid w:val="001C06C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06C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C06C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C06C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28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44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23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58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4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52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780</Words>
  <Characters>4452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Danielle Hogle</dc:creator>
  <cp:lastModifiedBy>Vankeerbergen, Bernadette</cp:lastModifiedBy>
  <cp:revision>2</cp:revision>
  <cp:lastPrinted>2015-10-13T18:58:00Z</cp:lastPrinted>
  <dcterms:created xsi:type="dcterms:W3CDTF">2015-11-02T16:13:00Z</dcterms:created>
  <dcterms:modified xsi:type="dcterms:W3CDTF">2015-11-02T16:13:00Z</dcterms:modified>
</cp:coreProperties>
</file>